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BED" w14:textId="77777777" w:rsidR="00F173AF" w:rsidRPr="00F173AF" w:rsidRDefault="00F173AF" w:rsidP="00F173AF">
      <w:pPr>
        <w:spacing w:before="100" w:beforeAutospacing="1" w:after="100" w:afterAutospacing="1" w:line="240" w:lineRule="auto"/>
        <w:rPr>
          <w:rFonts w:ascii="Arial" w:eastAsia="Times New Roman" w:hAnsi="Arial" w:cs="Arial"/>
          <w:color w:val="FF0000"/>
          <w:sz w:val="28"/>
          <w:szCs w:val="28"/>
          <w:lang w:eastAsia="fr-BE"/>
        </w:rPr>
      </w:pPr>
      <w:r w:rsidRPr="00F173AF">
        <w:rPr>
          <w:rFonts w:ascii="Arial" w:eastAsia="Times New Roman" w:hAnsi="Arial" w:cs="Arial"/>
          <w:color w:val="FF0000"/>
          <w:sz w:val="28"/>
          <w:szCs w:val="28"/>
          <w:lang w:eastAsia="fr-BE"/>
        </w:rPr>
        <w:t xml:space="preserve">CATÉGORIES DE BOISSONS SPIRITUEUSES </w:t>
      </w:r>
    </w:p>
    <w:p w14:paraId="07388B41" w14:textId="42352E0B" w:rsidR="0081172D" w:rsidRPr="0081172D" w:rsidRDefault="00736518" w:rsidP="0081172D">
      <w:pPr>
        <w:spacing w:before="100" w:beforeAutospacing="1" w:after="100" w:afterAutospacing="1" w:line="240" w:lineRule="auto"/>
        <w:rPr>
          <w:rFonts w:ascii="Arial" w:eastAsia="Times New Roman" w:hAnsi="Arial" w:cs="Arial"/>
          <w:color w:val="FF0000"/>
          <w:sz w:val="28"/>
          <w:szCs w:val="28"/>
          <w:lang w:eastAsia="fr-BE"/>
        </w:rPr>
      </w:pPr>
      <w:r w:rsidRPr="00B41173">
        <w:rPr>
          <w:rFonts w:ascii="Arial" w:eastAsia="Times New Roman" w:hAnsi="Arial" w:cs="Arial"/>
          <w:color w:val="FF0000"/>
          <w:sz w:val="28"/>
          <w:szCs w:val="28"/>
          <w:lang w:eastAsia="fr-BE"/>
        </w:rPr>
        <w:t xml:space="preserve">Qu'est-ce que le </w:t>
      </w:r>
      <w:proofErr w:type="spellStart"/>
      <w:r w:rsidR="00725ED0">
        <w:rPr>
          <w:rFonts w:ascii="Arial" w:eastAsia="Times New Roman" w:hAnsi="Arial" w:cs="Arial"/>
          <w:color w:val="FF0000"/>
          <w:sz w:val="28"/>
          <w:szCs w:val="28"/>
          <w:lang w:eastAsia="fr-BE"/>
        </w:rPr>
        <w:t>Tequilla</w:t>
      </w:r>
      <w:proofErr w:type="spellEnd"/>
      <w:r w:rsidR="00B41173" w:rsidRPr="00B41173">
        <w:rPr>
          <w:rFonts w:ascii="Arial" w:eastAsia="Times New Roman" w:hAnsi="Arial" w:cs="Arial"/>
          <w:color w:val="FF0000"/>
          <w:sz w:val="28"/>
          <w:szCs w:val="28"/>
          <w:lang w:eastAsia="fr-BE"/>
        </w:rPr>
        <w:t> ?</w:t>
      </w:r>
    </w:p>
    <w:p w14:paraId="0D343444" w14:textId="77777777" w:rsidR="00725ED0" w:rsidRPr="00DC5687" w:rsidRDefault="00725ED0" w:rsidP="00725ED0">
      <w:pPr>
        <w:rPr>
          <w:rFonts w:ascii="Arial" w:hAnsi="Arial" w:cs="Arial"/>
          <w:sz w:val="24"/>
          <w:szCs w:val="24"/>
        </w:rPr>
      </w:pPr>
      <w:r w:rsidRPr="00DC5687">
        <w:rPr>
          <w:rFonts w:ascii="Arial" w:hAnsi="Arial" w:cs="Arial"/>
          <w:sz w:val="24"/>
          <w:szCs w:val="24"/>
        </w:rPr>
        <w:t xml:space="preserve">La tequila est une eau-de-vie produite au Mexique exclusivement à partir d'une plante nommée Agave </w:t>
      </w:r>
      <w:proofErr w:type="spellStart"/>
      <w:r w:rsidRPr="00DC5687">
        <w:rPr>
          <w:rFonts w:ascii="Arial" w:hAnsi="Arial" w:cs="Arial"/>
          <w:sz w:val="24"/>
          <w:szCs w:val="24"/>
        </w:rPr>
        <w:t>tequilana</w:t>
      </w:r>
      <w:proofErr w:type="spellEnd"/>
      <w:r w:rsidRPr="00DC5687">
        <w:rPr>
          <w:rFonts w:ascii="Arial" w:hAnsi="Arial" w:cs="Arial"/>
          <w:sz w:val="24"/>
          <w:szCs w:val="24"/>
        </w:rPr>
        <w:t xml:space="preserve"> dont minimum 60% de de la variété Azul (bleue) de l'espèce Agave </w:t>
      </w:r>
      <w:proofErr w:type="spellStart"/>
      <w:r w:rsidRPr="00DC5687">
        <w:rPr>
          <w:rFonts w:ascii="Arial" w:hAnsi="Arial" w:cs="Arial"/>
          <w:sz w:val="24"/>
          <w:szCs w:val="24"/>
        </w:rPr>
        <w:t>tequilana</w:t>
      </w:r>
      <w:proofErr w:type="spellEnd"/>
      <w:r w:rsidRPr="00DC5687">
        <w:rPr>
          <w:rFonts w:ascii="Arial" w:hAnsi="Arial" w:cs="Arial"/>
          <w:sz w:val="24"/>
          <w:szCs w:val="24"/>
        </w:rPr>
        <w:t>.</w:t>
      </w:r>
      <w:r w:rsidRPr="00DC5687">
        <w:rPr>
          <w:rFonts w:ascii="Arial" w:hAnsi="Arial" w:cs="Arial"/>
          <w:sz w:val="24"/>
          <w:szCs w:val="24"/>
        </w:rPr>
        <w:br/>
        <w:t>(Contrairement au mezcal qui peut être produit à partir d'autres espèces d'Agave).</w:t>
      </w:r>
      <w:r w:rsidRPr="00DC5687">
        <w:rPr>
          <w:rFonts w:ascii="Arial" w:hAnsi="Arial" w:cs="Arial"/>
          <w:sz w:val="24"/>
          <w:szCs w:val="24"/>
        </w:rPr>
        <w:br/>
        <w:t xml:space="preserve">Le jus de ce « cactus » est extrait (broyé pressé, filtré, puis mis en fermentation et ensuite distillé deux fois et titrent généralement 38% Vol (minimum 35% Vol </w:t>
      </w:r>
      <w:proofErr w:type="spellStart"/>
      <w:r w:rsidRPr="00DC5687">
        <w:rPr>
          <w:rFonts w:ascii="Arial" w:hAnsi="Arial" w:cs="Arial"/>
          <w:sz w:val="24"/>
          <w:szCs w:val="24"/>
        </w:rPr>
        <w:t>alc</w:t>
      </w:r>
      <w:proofErr w:type="spellEnd"/>
      <w:r w:rsidRPr="00DC5687">
        <w:rPr>
          <w:rFonts w:ascii="Arial" w:hAnsi="Arial" w:cs="Arial"/>
          <w:sz w:val="24"/>
          <w:szCs w:val="24"/>
        </w:rPr>
        <w:t>.)</w:t>
      </w:r>
    </w:p>
    <w:p w14:paraId="26C5C722" w14:textId="77777777" w:rsidR="00725ED0" w:rsidRPr="00DC5687" w:rsidRDefault="00725ED0" w:rsidP="00725ED0">
      <w:pPr>
        <w:rPr>
          <w:rFonts w:ascii="Arial" w:hAnsi="Arial" w:cs="Arial"/>
          <w:sz w:val="24"/>
          <w:szCs w:val="24"/>
        </w:rPr>
      </w:pPr>
      <w:r w:rsidRPr="00DC5687">
        <w:rPr>
          <w:rFonts w:ascii="Arial" w:hAnsi="Arial" w:cs="Arial"/>
          <w:sz w:val="24"/>
          <w:szCs w:val="24"/>
        </w:rPr>
        <w:t xml:space="preserve">La « Tequila </w:t>
      </w:r>
      <w:proofErr w:type="spellStart"/>
      <w:r w:rsidRPr="00DC5687">
        <w:rPr>
          <w:rFonts w:ascii="Arial" w:hAnsi="Arial" w:cs="Arial"/>
          <w:sz w:val="24"/>
          <w:szCs w:val="24"/>
        </w:rPr>
        <w:t>designation</w:t>
      </w:r>
      <w:proofErr w:type="spellEnd"/>
      <w:r w:rsidRPr="00DC5687">
        <w:rPr>
          <w:rFonts w:ascii="Arial" w:hAnsi="Arial" w:cs="Arial"/>
          <w:sz w:val="24"/>
          <w:szCs w:val="24"/>
        </w:rPr>
        <w:t xml:space="preserve"> of Origin » est une protection juridique reconnue grâce à son inscription au registre international des appellations d’origine. Ce registre est tenu par l’OMPI, l’organisation mondiale de la propriété intellectuelle qui se situe à Genève. </w:t>
      </w:r>
    </w:p>
    <w:p w14:paraId="0C752032" w14:textId="77777777" w:rsidR="00725ED0" w:rsidRPr="00DC5687" w:rsidRDefault="00725ED0" w:rsidP="00725ED0">
      <w:pPr>
        <w:rPr>
          <w:rFonts w:ascii="Arial" w:hAnsi="Arial" w:cs="Arial"/>
          <w:sz w:val="24"/>
          <w:szCs w:val="24"/>
        </w:rPr>
      </w:pPr>
      <w:r w:rsidRPr="00DC5687">
        <w:rPr>
          <w:rFonts w:ascii="Arial" w:hAnsi="Arial" w:cs="Arial"/>
          <w:sz w:val="24"/>
          <w:szCs w:val="24"/>
        </w:rPr>
        <w:t>Ces critères sont décrits dans l’article 156 du code de la propriété intellectuelle Mexicain été repris dans le registre de l’OMPI. C’est l’institut national de la propriété intellectuelle mexicaine, l’IMPI qui peut seul délivrer ou non la précieuse appellation.</w:t>
      </w:r>
    </w:p>
    <w:p w14:paraId="0460E487" w14:textId="77777777" w:rsidR="00725ED0" w:rsidRPr="00DC5687" w:rsidRDefault="00725ED0" w:rsidP="00725ED0">
      <w:pPr>
        <w:rPr>
          <w:rFonts w:ascii="Arial" w:hAnsi="Arial" w:cs="Arial"/>
          <w:sz w:val="24"/>
          <w:szCs w:val="24"/>
        </w:rPr>
      </w:pPr>
      <w:r w:rsidRPr="00DC5687">
        <w:rPr>
          <w:rFonts w:ascii="Arial" w:hAnsi="Arial" w:cs="Arial"/>
          <w:sz w:val="24"/>
          <w:szCs w:val="24"/>
        </w:rPr>
        <w:t>D’après cet article la désignation d’origine est le nom d’une région spécifique du pays qui désigne un produit particulier, fabriqué dans la région et dont les qualités ou les caractéristiques sont le fruit de son environnement géographique, naturel et humain.</w:t>
      </w:r>
      <w:r w:rsidRPr="00DC5687">
        <w:rPr>
          <w:rFonts w:ascii="Arial" w:hAnsi="Arial" w:cs="Arial"/>
          <w:sz w:val="24"/>
          <w:szCs w:val="24"/>
        </w:rPr>
        <w:br/>
      </w:r>
    </w:p>
    <w:p w14:paraId="142BB1AA" w14:textId="77777777" w:rsidR="00725ED0" w:rsidRPr="00DC5687" w:rsidRDefault="00725ED0" w:rsidP="00725ED0">
      <w:pPr>
        <w:rPr>
          <w:rFonts w:ascii="Arial" w:hAnsi="Arial" w:cs="Arial"/>
          <w:sz w:val="24"/>
          <w:szCs w:val="24"/>
        </w:rPr>
      </w:pPr>
      <w:r w:rsidRPr="00DC5687">
        <w:rPr>
          <w:rFonts w:ascii="Arial" w:hAnsi="Arial" w:cs="Arial"/>
          <w:b/>
          <w:bCs/>
          <w:sz w:val="24"/>
          <w:szCs w:val="24"/>
        </w:rPr>
        <w:t>Différents types de tequila.</w:t>
      </w:r>
      <w:r w:rsidRPr="00DC5687">
        <w:rPr>
          <w:rFonts w:ascii="Arial" w:hAnsi="Arial" w:cs="Arial"/>
          <w:sz w:val="24"/>
          <w:szCs w:val="24"/>
        </w:rPr>
        <w:br/>
        <w:t xml:space="preserve">Tequila </w:t>
      </w:r>
      <w:r w:rsidRPr="00DC5687">
        <w:rPr>
          <w:rFonts w:ascii="Arial" w:hAnsi="Arial" w:cs="Arial"/>
          <w:sz w:val="24"/>
          <w:szCs w:val="24"/>
          <w:u w:val="single"/>
        </w:rPr>
        <w:t>blanco</w:t>
      </w:r>
      <w:r w:rsidRPr="00DC5687">
        <w:rPr>
          <w:rFonts w:ascii="Arial" w:hAnsi="Arial" w:cs="Arial"/>
          <w:sz w:val="24"/>
          <w:szCs w:val="24"/>
        </w:rPr>
        <w:t>, transparent, est obtenu directement après la seconde distillation. Pas de vieillissement en fût pour le type 1.</w:t>
      </w:r>
      <w:r w:rsidRPr="00DC5687">
        <w:rPr>
          <w:rFonts w:ascii="Arial" w:hAnsi="Arial" w:cs="Arial"/>
          <w:sz w:val="24"/>
          <w:szCs w:val="24"/>
        </w:rPr>
        <w:br/>
        <w:t xml:space="preserve">Tequila </w:t>
      </w:r>
      <w:r w:rsidRPr="00DC5687">
        <w:rPr>
          <w:rFonts w:ascii="Arial" w:hAnsi="Arial" w:cs="Arial"/>
          <w:sz w:val="24"/>
          <w:szCs w:val="24"/>
          <w:u w:val="single"/>
        </w:rPr>
        <w:t>gold</w:t>
      </w:r>
      <w:r w:rsidRPr="00DC5687">
        <w:rPr>
          <w:rFonts w:ascii="Arial" w:hAnsi="Arial" w:cs="Arial"/>
          <w:sz w:val="24"/>
          <w:szCs w:val="24"/>
        </w:rPr>
        <w:t xml:space="preserve"> ou </w:t>
      </w:r>
      <w:proofErr w:type="spellStart"/>
      <w:r w:rsidRPr="00DC5687">
        <w:rPr>
          <w:rFonts w:ascii="Arial" w:hAnsi="Arial" w:cs="Arial"/>
          <w:sz w:val="24"/>
          <w:szCs w:val="24"/>
        </w:rPr>
        <w:t>joven</w:t>
      </w:r>
      <w:proofErr w:type="spellEnd"/>
      <w:r w:rsidRPr="00DC5687">
        <w:rPr>
          <w:rFonts w:ascii="Arial" w:hAnsi="Arial" w:cs="Arial"/>
          <w:sz w:val="24"/>
          <w:szCs w:val="24"/>
        </w:rPr>
        <w:t xml:space="preserve"> </w:t>
      </w:r>
      <w:proofErr w:type="spellStart"/>
      <w:r w:rsidRPr="00DC5687">
        <w:rPr>
          <w:rFonts w:ascii="Arial" w:hAnsi="Arial" w:cs="Arial"/>
          <w:sz w:val="24"/>
          <w:szCs w:val="24"/>
        </w:rPr>
        <w:t>abocado</w:t>
      </w:r>
      <w:proofErr w:type="spellEnd"/>
      <w:r w:rsidRPr="00DC5687">
        <w:rPr>
          <w:rFonts w:ascii="Arial" w:hAnsi="Arial" w:cs="Arial"/>
          <w:sz w:val="24"/>
          <w:szCs w:val="24"/>
        </w:rPr>
        <w:t xml:space="preserve"> est la catégorie la plus exportée. Il s'agit de </w:t>
      </w:r>
      <w:proofErr w:type="spellStart"/>
      <w:r w:rsidRPr="00DC5687">
        <w:rPr>
          <w:rFonts w:ascii="Arial" w:hAnsi="Arial" w:cs="Arial"/>
          <w:sz w:val="24"/>
          <w:szCs w:val="24"/>
        </w:rPr>
        <w:t>tequilla</w:t>
      </w:r>
      <w:proofErr w:type="spellEnd"/>
      <w:r w:rsidRPr="00DC5687">
        <w:rPr>
          <w:rFonts w:ascii="Arial" w:hAnsi="Arial" w:cs="Arial"/>
          <w:sz w:val="24"/>
          <w:szCs w:val="24"/>
        </w:rPr>
        <w:t xml:space="preserve"> de type blanco vieilli en fût de chêne ou auquel on a ajouté un colorant (généralement le caramel) et des arômes.</w:t>
      </w:r>
      <w:r w:rsidRPr="00DC5687">
        <w:rPr>
          <w:rFonts w:ascii="Arial" w:hAnsi="Arial" w:cs="Arial"/>
          <w:sz w:val="24"/>
          <w:szCs w:val="24"/>
        </w:rPr>
        <w:br/>
        <w:t xml:space="preserve">Tequila </w:t>
      </w:r>
      <w:proofErr w:type="spellStart"/>
      <w:r w:rsidRPr="00DC5687">
        <w:rPr>
          <w:rFonts w:ascii="Arial" w:hAnsi="Arial" w:cs="Arial"/>
          <w:sz w:val="24"/>
          <w:szCs w:val="24"/>
          <w:u w:val="single"/>
        </w:rPr>
        <w:t>reposado</w:t>
      </w:r>
      <w:proofErr w:type="spellEnd"/>
      <w:r w:rsidRPr="00DC5687">
        <w:rPr>
          <w:rFonts w:ascii="Arial" w:hAnsi="Arial" w:cs="Arial"/>
          <w:sz w:val="24"/>
          <w:szCs w:val="24"/>
        </w:rPr>
        <w:t xml:space="preserve"> s'obtient ensuite à partir de la tequila blanche laissée reposer au moins deux mois dans des tonneaux de chêne ; son goût est légèrement plus suave que le blanco. C'est la plus consommée au Mexique. </w:t>
      </w:r>
      <w:r w:rsidRPr="00DC5687">
        <w:rPr>
          <w:rFonts w:ascii="Arial" w:hAnsi="Arial" w:cs="Arial"/>
          <w:sz w:val="24"/>
          <w:szCs w:val="24"/>
        </w:rPr>
        <w:br/>
        <w:t xml:space="preserve">Tequila </w:t>
      </w:r>
      <w:proofErr w:type="spellStart"/>
      <w:r w:rsidRPr="00DC5687">
        <w:rPr>
          <w:rFonts w:ascii="Arial" w:hAnsi="Arial" w:cs="Arial"/>
          <w:sz w:val="24"/>
          <w:szCs w:val="24"/>
          <w:u w:val="single"/>
        </w:rPr>
        <w:t>añejo</w:t>
      </w:r>
      <w:proofErr w:type="spellEnd"/>
      <w:r w:rsidRPr="00DC5687">
        <w:rPr>
          <w:rFonts w:ascii="Arial" w:hAnsi="Arial" w:cs="Arial"/>
          <w:sz w:val="24"/>
          <w:szCs w:val="24"/>
        </w:rPr>
        <w:t xml:space="preserve"> (ou tequila extra </w:t>
      </w:r>
      <w:proofErr w:type="spellStart"/>
      <w:r w:rsidRPr="00DC5687">
        <w:rPr>
          <w:rFonts w:ascii="Arial" w:hAnsi="Arial" w:cs="Arial"/>
          <w:sz w:val="24"/>
          <w:szCs w:val="24"/>
        </w:rPr>
        <w:t>añejo</w:t>
      </w:r>
      <w:proofErr w:type="spellEnd"/>
      <w:r w:rsidRPr="00DC5687">
        <w:rPr>
          <w:rFonts w:ascii="Arial" w:hAnsi="Arial" w:cs="Arial"/>
          <w:sz w:val="24"/>
          <w:szCs w:val="24"/>
        </w:rPr>
        <w:t xml:space="preserve">) doit rester au moins un an (trois ans) dans les mêmes barriques de 600 litres scellées par un officier gouvernemental. Sa couleur est plus foncée que le précédent, et il a un goût de bois plus prononcé. </w:t>
      </w:r>
    </w:p>
    <w:p w14:paraId="74B7FCC3" w14:textId="77777777" w:rsidR="00725ED0" w:rsidRDefault="00725ED0" w:rsidP="00725ED0">
      <w:pPr>
        <w:pStyle w:val="PrformatHTML"/>
        <w:rPr>
          <w:rFonts w:ascii="Arial" w:hAnsi="Arial" w:cs="Arial"/>
          <w:sz w:val="28"/>
          <w:szCs w:val="28"/>
        </w:rPr>
      </w:pPr>
      <w:r w:rsidRPr="00DC5687">
        <w:rPr>
          <w:rFonts w:ascii="Arial" w:hAnsi="Arial" w:cs="Arial"/>
          <w:sz w:val="24"/>
          <w:szCs w:val="24"/>
        </w:rPr>
        <w:t xml:space="preserve">Les qualificatifs tels que « </w:t>
      </w:r>
      <w:proofErr w:type="spellStart"/>
      <w:r w:rsidRPr="00DC5687">
        <w:rPr>
          <w:rFonts w:ascii="Arial" w:hAnsi="Arial" w:cs="Arial"/>
          <w:sz w:val="24"/>
          <w:szCs w:val="24"/>
        </w:rPr>
        <w:t>oro</w:t>
      </w:r>
      <w:proofErr w:type="spellEnd"/>
      <w:r w:rsidRPr="00DC5687">
        <w:rPr>
          <w:rFonts w:ascii="Arial" w:hAnsi="Arial" w:cs="Arial"/>
          <w:sz w:val="24"/>
          <w:szCs w:val="24"/>
        </w:rPr>
        <w:t xml:space="preserve"> », « </w:t>
      </w:r>
      <w:proofErr w:type="spellStart"/>
      <w:r w:rsidRPr="00DC5687">
        <w:rPr>
          <w:rFonts w:ascii="Arial" w:hAnsi="Arial" w:cs="Arial"/>
          <w:sz w:val="24"/>
          <w:szCs w:val="24"/>
        </w:rPr>
        <w:t>plata</w:t>
      </w:r>
      <w:proofErr w:type="spellEnd"/>
      <w:r w:rsidRPr="00DC5687">
        <w:rPr>
          <w:rFonts w:ascii="Arial" w:hAnsi="Arial" w:cs="Arial"/>
          <w:sz w:val="24"/>
          <w:szCs w:val="24"/>
        </w:rPr>
        <w:t xml:space="preserve"> », « </w:t>
      </w:r>
      <w:proofErr w:type="spellStart"/>
      <w:r w:rsidRPr="00DC5687">
        <w:rPr>
          <w:rFonts w:ascii="Arial" w:hAnsi="Arial" w:cs="Arial"/>
          <w:sz w:val="24"/>
          <w:szCs w:val="24"/>
        </w:rPr>
        <w:t>artesanal</w:t>
      </w:r>
      <w:proofErr w:type="spellEnd"/>
      <w:r w:rsidRPr="00DC5687">
        <w:rPr>
          <w:rFonts w:ascii="Arial" w:hAnsi="Arial" w:cs="Arial"/>
          <w:sz w:val="24"/>
          <w:szCs w:val="24"/>
        </w:rPr>
        <w:t xml:space="preserve"> », « </w:t>
      </w:r>
      <w:proofErr w:type="spellStart"/>
      <w:r w:rsidRPr="00DC5687">
        <w:rPr>
          <w:rFonts w:ascii="Arial" w:hAnsi="Arial" w:cs="Arial"/>
          <w:sz w:val="24"/>
          <w:szCs w:val="24"/>
        </w:rPr>
        <w:t>especial</w:t>
      </w:r>
      <w:proofErr w:type="spellEnd"/>
      <w:r w:rsidRPr="00DC5687">
        <w:rPr>
          <w:rFonts w:ascii="Arial" w:hAnsi="Arial" w:cs="Arial"/>
          <w:sz w:val="24"/>
          <w:szCs w:val="24"/>
        </w:rPr>
        <w:t xml:space="preserve"> », « </w:t>
      </w:r>
      <w:proofErr w:type="spellStart"/>
      <w:r w:rsidRPr="00DC5687">
        <w:rPr>
          <w:rFonts w:ascii="Arial" w:hAnsi="Arial" w:cs="Arial"/>
          <w:sz w:val="24"/>
          <w:szCs w:val="24"/>
        </w:rPr>
        <w:t>azteca</w:t>
      </w:r>
      <w:proofErr w:type="spellEnd"/>
      <w:r w:rsidRPr="00DC5687">
        <w:rPr>
          <w:rFonts w:ascii="Arial" w:hAnsi="Arial" w:cs="Arial"/>
          <w:sz w:val="24"/>
          <w:szCs w:val="24"/>
        </w:rPr>
        <w:t xml:space="preserve"> », « </w:t>
      </w:r>
      <w:proofErr w:type="spellStart"/>
      <w:r w:rsidRPr="00DC5687">
        <w:rPr>
          <w:rFonts w:ascii="Arial" w:hAnsi="Arial" w:cs="Arial"/>
          <w:sz w:val="24"/>
          <w:szCs w:val="24"/>
        </w:rPr>
        <w:t>antigua</w:t>
      </w:r>
      <w:proofErr w:type="spellEnd"/>
      <w:r w:rsidRPr="00DC5687">
        <w:rPr>
          <w:rFonts w:ascii="Arial" w:hAnsi="Arial" w:cs="Arial"/>
          <w:sz w:val="24"/>
          <w:szCs w:val="24"/>
        </w:rPr>
        <w:t xml:space="preserve"> </w:t>
      </w:r>
      <w:proofErr w:type="spellStart"/>
      <w:r w:rsidRPr="00DC5687">
        <w:rPr>
          <w:rFonts w:ascii="Arial" w:hAnsi="Arial" w:cs="Arial"/>
          <w:sz w:val="24"/>
          <w:szCs w:val="24"/>
        </w:rPr>
        <w:t>reserva</w:t>
      </w:r>
      <w:proofErr w:type="spellEnd"/>
      <w:r w:rsidRPr="00DC5687">
        <w:rPr>
          <w:rFonts w:ascii="Arial" w:hAnsi="Arial" w:cs="Arial"/>
          <w:sz w:val="24"/>
          <w:szCs w:val="24"/>
        </w:rPr>
        <w:t xml:space="preserve"> », « </w:t>
      </w:r>
      <w:proofErr w:type="spellStart"/>
      <w:r w:rsidRPr="00DC5687">
        <w:rPr>
          <w:rFonts w:ascii="Arial" w:hAnsi="Arial" w:cs="Arial"/>
          <w:sz w:val="24"/>
          <w:szCs w:val="24"/>
        </w:rPr>
        <w:t>reserva</w:t>
      </w:r>
      <w:proofErr w:type="spellEnd"/>
      <w:r w:rsidRPr="00DC5687">
        <w:rPr>
          <w:rFonts w:ascii="Arial" w:hAnsi="Arial" w:cs="Arial"/>
          <w:sz w:val="24"/>
          <w:szCs w:val="24"/>
        </w:rPr>
        <w:t xml:space="preserve"> », etc. ne sont pas des termes officiels.</w:t>
      </w:r>
      <w:r w:rsidRPr="00DC5687">
        <w:rPr>
          <w:rFonts w:ascii="Arial" w:hAnsi="Arial" w:cs="Arial"/>
          <w:sz w:val="24"/>
          <w:szCs w:val="24"/>
        </w:rPr>
        <w:br/>
      </w:r>
    </w:p>
    <w:p w14:paraId="5168C378" w14:textId="77777777" w:rsidR="00725ED0" w:rsidRPr="00725ED0" w:rsidRDefault="00725ED0" w:rsidP="00725ED0">
      <w:pPr>
        <w:spacing w:before="100" w:beforeAutospacing="1" w:after="100" w:afterAutospacing="1" w:line="240" w:lineRule="auto"/>
        <w:rPr>
          <w:rFonts w:ascii="Arial" w:eastAsia="Times New Roman" w:hAnsi="Arial" w:cs="Arial"/>
          <w:color w:val="FF0000"/>
          <w:sz w:val="28"/>
          <w:szCs w:val="28"/>
          <w:lang w:val="nl-BE" w:eastAsia="fr-BE"/>
        </w:rPr>
      </w:pPr>
      <w:r w:rsidRPr="00725ED0">
        <w:rPr>
          <w:rFonts w:ascii="Arial" w:eastAsia="Times New Roman" w:hAnsi="Arial" w:cs="Arial"/>
          <w:color w:val="FF0000"/>
          <w:sz w:val="28"/>
          <w:szCs w:val="28"/>
          <w:lang w:val="nl-BE" w:eastAsia="fr-BE"/>
        </w:rPr>
        <w:t>CATEGORIEËN GEDISTILLEERDE DRANKEN</w:t>
      </w:r>
    </w:p>
    <w:p w14:paraId="3B1FAB89" w14:textId="77777777" w:rsidR="00725ED0" w:rsidRPr="00725ED0" w:rsidRDefault="00725ED0" w:rsidP="00725ED0">
      <w:pPr>
        <w:spacing w:before="100" w:beforeAutospacing="1" w:after="100" w:afterAutospacing="1" w:line="240" w:lineRule="auto"/>
        <w:rPr>
          <w:rFonts w:ascii="Arial" w:eastAsia="Times New Roman" w:hAnsi="Arial" w:cs="Arial"/>
          <w:color w:val="FF0000"/>
          <w:sz w:val="28"/>
          <w:szCs w:val="28"/>
          <w:lang w:val="nl-BE" w:eastAsia="fr-BE"/>
        </w:rPr>
      </w:pPr>
      <w:r w:rsidRPr="00725ED0">
        <w:rPr>
          <w:rFonts w:ascii="Arial" w:eastAsia="Times New Roman" w:hAnsi="Arial" w:cs="Arial"/>
          <w:color w:val="FF0000"/>
          <w:sz w:val="28"/>
          <w:szCs w:val="28"/>
          <w:lang w:val="nl-BE" w:eastAsia="fr-BE"/>
        </w:rPr>
        <w:t xml:space="preserve">Wat is </w:t>
      </w:r>
      <w:proofErr w:type="gramStart"/>
      <w:r>
        <w:rPr>
          <w:rFonts w:ascii="Arial" w:eastAsia="Times New Roman" w:hAnsi="Arial" w:cs="Arial"/>
          <w:color w:val="FF0000"/>
          <w:sz w:val="28"/>
          <w:szCs w:val="28"/>
          <w:lang w:val="nl-BE" w:eastAsia="fr-BE"/>
        </w:rPr>
        <w:t>Tequila</w:t>
      </w:r>
      <w:r w:rsidRPr="00725ED0">
        <w:rPr>
          <w:rFonts w:ascii="Arial" w:eastAsia="Times New Roman" w:hAnsi="Arial" w:cs="Arial"/>
          <w:color w:val="FF0000"/>
          <w:sz w:val="28"/>
          <w:szCs w:val="28"/>
          <w:lang w:val="nl-BE" w:eastAsia="fr-BE"/>
        </w:rPr>
        <w:t> ?</w:t>
      </w:r>
      <w:proofErr w:type="gramEnd"/>
    </w:p>
    <w:p w14:paraId="6B4B7716" w14:textId="2DA6D7F7" w:rsidR="00725ED0" w:rsidRPr="00DC5687" w:rsidRDefault="00725ED0" w:rsidP="00725ED0">
      <w:pPr>
        <w:pStyle w:val="PrformatHTML"/>
        <w:rPr>
          <w:rFonts w:ascii="Arial" w:hAnsi="Arial" w:cs="Arial"/>
          <w:sz w:val="24"/>
          <w:szCs w:val="24"/>
          <w:lang w:val="nl-NL"/>
        </w:rPr>
      </w:pPr>
      <w:r w:rsidRPr="00725ED0">
        <w:rPr>
          <w:rFonts w:ascii="Arial" w:hAnsi="Arial" w:cs="Arial"/>
          <w:sz w:val="28"/>
          <w:szCs w:val="28"/>
          <w:lang w:val="nl-BE"/>
        </w:rPr>
        <w:br/>
      </w:r>
      <w:r w:rsidRPr="00725ED0">
        <w:rPr>
          <w:rFonts w:ascii="Arial" w:hAnsi="Arial" w:cs="Arial"/>
          <w:sz w:val="28"/>
          <w:szCs w:val="28"/>
          <w:lang w:val="nl-BE"/>
        </w:rPr>
        <w:br/>
      </w:r>
      <w:r w:rsidRPr="00DC5687">
        <w:rPr>
          <w:rFonts w:ascii="Arial" w:hAnsi="Arial" w:cs="Arial"/>
          <w:sz w:val="24"/>
          <w:szCs w:val="24"/>
          <w:lang w:val="nl-NL"/>
        </w:rPr>
        <w:lastRenderedPageBreak/>
        <w:t xml:space="preserve">Tequila is een brandewijn die uitsluitend in Mexico wordt geproduceerd van een plant genaamd Agave </w:t>
      </w:r>
      <w:proofErr w:type="spellStart"/>
      <w:r w:rsidRPr="00DC5687">
        <w:rPr>
          <w:rFonts w:ascii="Arial" w:hAnsi="Arial" w:cs="Arial"/>
          <w:sz w:val="24"/>
          <w:szCs w:val="24"/>
          <w:lang w:val="nl-NL"/>
        </w:rPr>
        <w:t>tequilana</w:t>
      </w:r>
      <w:proofErr w:type="spellEnd"/>
      <w:r w:rsidRPr="00DC5687">
        <w:rPr>
          <w:rFonts w:ascii="Arial" w:hAnsi="Arial" w:cs="Arial"/>
          <w:sz w:val="24"/>
          <w:szCs w:val="24"/>
          <w:lang w:val="nl-NL"/>
        </w:rPr>
        <w:t xml:space="preserve">, waarvan ten minste 60% van de variëteit </w:t>
      </w:r>
      <w:proofErr w:type="spellStart"/>
      <w:r w:rsidRPr="00DC5687">
        <w:rPr>
          <w:rFonts w:ascii="Arial" w:hAnsi="Arial" w:cs="Arial"/>
          <w:sz w:val="24"/>
          <w:szCs w:val="24"/>
          <w:lang w:val="nl-NL"/>
        </w:rPr>
        <w:t>Azul</w:t>
      </w:r>
      <w:proofErr w:type="spellEnd"/>
      <w:r w:rsidRPr="00DC5687">
        <w:rPr>
          <w:rFonts w:ascii="Arial" w:hAnsi="Arial" w:cs="Arial"/>
          <w:sz w:val="24"/>
          <w:szCs w:val="24"/>
          <w:lang w:val="nl-NL"/>
        </w:rPr>
        <w:t xml:space="preserve"> (blauw) van de soort Agave </w:t>
      </w:r>
      <w:proofErr w:type="spellStart"/>
      <w:r w:rsidRPr="00DC5687">
        <w:rPr>
          <w:rFonts w:ascii="Arial" w:hAnsi="Arial" w:cs="Arial"/>
          <w:sz w:val="24"/>
          <w:szCs w:val="24"/>
          <w:lang w:val="nl-NL"/>
        </w:rPr>
        <w:t>tequilana</w:t>
      </w:r>
      <w:proofErr w:type="spellEnd"/>
      <w:r w:rsidRPr="00DC5687">
        <w:rPr>
          <w:rFonts w:ascii="Arial" w:hAnsi="Arial" w:cs="Arial"/>
          <w:sz w:val="24"/>
          <w:szCs w:val="24"/>
          <w:lang w:val="nl-NL"/>
        </w:rPr>
        <w:t>.</w:t>
      </w:r>
    </w:p>
    <w:p w14:paraId="492466E6"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w:t>
      </w:r>
      <w:proofErr w:type="gramStart"/>
      <w:r w:rsidRPr="00DC5687">
        <w:rPr>
          <w:rFonts w:ascii="Arial" w:eastAsia="Times New Roman" w:hAnsi="Arial" w:cs="Arial"/>
          <w:sz w:val="24"/>
          <w:szCs w:val="24"/>
          <w:lang w:val="nl-NL" w:eastAsia="fr-BE"/>
        </w:rPr>
        <w:t>in</w:t>
      </w:r>
      <w:proofErr w:type="gramEnd"/>
      <w:r w:rsidRPr="00DC5687">
        <w:rPr>
          <w:rFonts w:ascii="Arial" w:eastAsia="Times New Roman" w:hAnsi="Arial" w:cs="Arial"/>
          <w:sz w:val="24"/>
          <w:szCs w:val="24"/>
          <w:lang w:val="nl-NL" w:eastAsia="fr-BE"/>
        </w:rPr>
        <w:t xml:space="preserve"> tegenstelling tot </w:t>
      </w:r>
      <w:proofErr w:type="spellStart"/>
      <w:r w:rsidRPr="00DC5687">
        <w:rPr>
          <w:rFonts w:ascii="Arial" w:eastAsia="Times New Roman" w:hAnsi="Arial" w:cs="Arial"/>
          <w:sz w:val="24"/>
          <w:szCs w:val="24"/>
          <w:lang w:val="nl-NL" w:eastAsia="fr-BE"/>
        </w:rPr>
        <w:t>mezcal</w:t>
      </w:r>
      <w:proofErr w:type="spellEnd"/>
      <w:r w:rsidRPr="00DC5687">
        <w:rPr>
          <w:rFonts w:ascii="Arial" w:eastAsia="Times New Roman" w:hAnsi="Arial" w:cs="Arial"/>
          <w:sz w:val="24"/>
          <w:szCs w:val="24"/>
          <w:lang w:val="nl-NL" w:eastAsia="fr-BE"/>
        </w:rPr>
        <w:t xml:space="preserve"> die kan worden geproduceerd uit andere Agave-soorten).</w:t>
      </w:r>
    </w:p>
    <w:p w14:paraId="148C7294"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Het sap van deze "cactus" wordt geëxtraheerd (geplet, geperst, gefilterd, vervolgens gefermenteerd en vervolgens tweemaal gedestilleerd en titreer in het algemeen 38% Vol (minimaal 35% Vol </w:t>
      </w:r>
      <w:proofErr w:type="spellStart"/>
      <w:r w:rsidRPr="00DC5687">
        <w:rPr>
          <w:rFonts w:ascii="Arial" w:eastAsia="Times New Roman" w:hAnsi="Arial" w:cs="Arial"/>
          <w:sz w:val="24"/>
          <w:szCs w:val="24"/>
          <w:lang w:val="nl-NL" w:eastAsia="fr-BE"/>
        </w:rPr>
        <w:t>alc</w:t>
      </w:r>
      <w:proofErr w:type="spellEnd"/>
      <w:r w:rsidRPr="00DC5687">
        <w:rPr>
          <w:rFonts w:ascii="Arial" w:eastAsia="Times New Roman" w:hAnsi="Arial" w:cs="Arial"/>
          <w:sz w:val="24"/>
          <w:szCs w:val="24"/>
          <w:lang w:val="nl-NL" w:eastAsia="fr-BE"/>
        </w:rPr>
        <w:t>.)</w:t>
      </w:r>
    </w:p>
    <w:p w14:paraId="6B145641"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De "Tequila oorsprongsbenaming" is een erkende rechtsbescherming dankzij de inschrijving in het internationale register van oorsprongsbenamingen. Dit register wordt bijgehouden door WIPO, de wereldwijde organisatie voor intellectueel eigendom, gevestigd in Genève.</w:t>
      </w:r>
    </w:p>
    <w:p w14:paraId="063DE830"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Deze criteria zijn beschreven in artikel 156 van de Mexicaanse </w:t>
      </w:r>
      <w:proofErr w:type="spellStart"/>
      <w:r w:rsidRPr="00DC5687">
        <w:rPr>
          <w:rFonts w:ascii="Arial" w:eastAsia="Times New Roman" w:hAnsi="Arial" w:cs="Arial"/>
          <w:sz w:val="24"/>
          <w:szCs w:val="24"/>
          <w:lang w:val="nl-NL" w:eastAsia="fr-BE"/>
        </w:rPr>
        <w:t>Intellectual</w:t>
      </w:r>
      <w:proofErr w:type="spellEnd"/>
      <w:r w:rsidRPr="00DC5687">
        <w:rPr>
          <w:rFonts w:ascii="Arial" w:eastAsia="Times New Roman" w:hAnsi="Arial" w:cs="Arial"/>
          <w:sz w:val="24"/>
          <w:szCs w:val="24"/>
          <w:lang w:val="nl-NL" w:eastAsia="fr-BE"/>
        </w:rPr>
        <w:t xml:space="preserve"> Property Code, die is opgenomen in het WIPO-register. Het is het Mexicaanse Nationale Instituut voor Intellectuele Eigendom, de IMPI, die als enige de kostbare aanduiding kan of kan toekennen.</w:t>
      </w:r>
    </w:p>
    <w:p w14:paraId="1001348F"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Volgens dit artikel is de oorsprongsbenaming de naam van een specifieke regio van het land die een bepaald product aanduidt, vervaardigd in de regio en waarvan de kwaliteiten of kenmerken het resultaat zijn van zijn geografische, natuurlijke en menselijke omgeving.</w:t>
      </w:r>
    </w:p>
    <w:p w14:paraId="194A117E"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p>
    <w:p w14:paraId="498DC373"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Verschillende soorten tequila.</w:t>
      </w:r>
    </w:p>
    <w:p w14:paraId="5E8FE0DA"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Tequila blanco, transparant, wordt direct na de tweede distillatie verkregen. Geen veroudering in vaten voor type 1.</w:t>
      </w:r>
    </w:p>
    <w:p w14:paraId="50B1EF60"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Tequila-goud of </w:t>
      </w:r>
      <w:proofErr w:type="spellStart"/>
      <w:r w:rsidRPr="00DC5687">
        <w:rPr>
          <w:rFonts w:ascii="Arial" w:eastAsia="Times New Roman" w:hAnsi="Arial" w:cs="Arial"/>
          <w:sz w:val="24"/>
          <w:szCs w:val="24"/>
          <w:lang w:val="nl-NL" w:eastAsia="fr-BE"/>
        </w:rPr>
        <w:t>joven</w:t>
      </w:r>
      <w:proofErr w:type="spellEnd"/>
      <w:r w:rsidRPr="00DC5687">
        <w:rPr>
          <w:rFonts w:ascii="Arial" w:eastAsia="Times New Roman" w:hAnsi="Arial" w:cs="Arial"/>
          <w:sz w:val="24"/>
          <w:szCs w:val="24"/>
          <w:lang w:val="nl-NL" w:eastAsia="fr-BE"/>
        </w:rPr>
        <w:t xml:space="preserve"> </w:t>
      </w:r>
      <w:proofErr w:type="spellStart"/>
      <w:r w:rsidRPr="00DC5687">
        <w:rPr>
          <w:rFonts w:ascii="Arial" w:eastAsia="Times New Roman" w:hAnsi="Arial" w:cs="Arial"/>
          <w:sz w:val="24"/>
          <w:szCs w:val="24"/>
          <w:lang w:val="nl-NL" w:eastAsia="fr-BE"/>
        </w:rPr>
        <w:t>abocado</w:t>
      </w:r>
      <w:proofErr w:type="spellEnd"/>
      <w:r w:rsidRPr="00DC5687">
        <w:rPr>
          <w:rFonts w:ascii="Arial" w:eastAsia="Times New Roman" w:hAnsi="Arial" w:cs="Arial"/>
          <w:sz w:val="24"/>
          <w:szCs w:val="24"/>
          <w:lang w:val="nl-NL" w:eastAsia="fr-BE"/>
        </w:rPr>
        <w:t xml:space="preserve"> is de meest geëxporteerde categorie. Dit is </w:t>
      </w:r>
      <w:proofErr w:type="spellStart"/>
      <w:r w:rsidRPr="00DC5687">
        <w:rPr>
          <w:rFonts w:ascii="Arial" w:eastAsia="Times New Roman" w:hAnsi="Arial" w:cs="Arial"/>
          <w:sz w:val="24"/>
          <w:szCs w:val="24"/>
          <w:lang w:val="nl-NL" w:eastAsia="fr-BE"/>
        </w:rPr>
        <w:t>tequilla</w:t>
      </w:r>
      <w:proofErr w:type="spellEnd"/>
      <w:r w:rsidRPr="00DC5687">
        <w:rPr>
          <w:rFonts w:ascii="Arial" w:eastAsia="Times New Roman" w:hAnsi="Arial" w:cs="Arial"/>
          <w:sz w:val="24"/>
          <w:szCs w:val="24"/>
          <w:lang w:val="nl-NL" w:eastAsia="fr-BE"/>
        </w:rPr>
        <w:t xml:space="preserve"> van het blanco-type, gerijpt in eikenhouten vaten of waaraan een kleurstof (meestal karamel) en smaakstoffen zijn toegevoegd.</w:t>
      </w:r>
    </w:p>
    <w:p w14:paraId="55390A18"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 </w:t>
      </w:r>
      <w:proofErr w:type="spellStart"/>
      <w:r w:rsidRPr="00DC5687">
        <w:rPr>
          <w:rFonts w:ascii="Arial" w:eastAsia="Times New Roman" w:hAnsi="Arial" w:cs="Arial"/>
          <w:sz w:val="24"/>
          <w:szCs w:val="24"/>
          <w:lang w:val="nl-NL" w:eastAsia="fr-BE"/>
        </w:rPr>
        <w:t>reposado</w:t>
      </w:r>
      <w:proofErr w:type="spellEnd"/>
      <w:r w:rsidRPr="00DC5687">
        <w:rPr>
          <w:rFonts w:ascii="Arial" w:eastAsia="Times New Roman" w:hAnsi="Arial" w:cs="Arial"/>
          <w:sz w:val="24"/>
          <w:szCs w:val="24"/>
          <w:lang w:val="nl-NL" w:eastAsia="fr-BE"/>
        </w:rPr>
        <w:t xml:space="preserve"> wordt vervolgens verkregen uit witte tequila die ten minste twee maanden in eikenhouten vaten blijft staan; de smaak is iets zoeter dan blanco. Het wordt het meest geconsumeerd in Mexico.</w:t>
      </w:r>
    </w:p>
    <w:p w14:paraId="08451ADB"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 </w:t>
      </w:r>
      <w:proofErr w:type="spellStart"/>
      <w:r w:rsidRPr="00DC5687">
        <w:rPr>
          <w:rFonts w:ascii="Arial" w:eastAsia="Times New Roman" w:hAnsi="Arial" w:cs="Arial"/>
          <w:sz w:val="24"/>
          <w:szCs w:val="24"/>
          <w:lang w:val="nl-NL" w:eastAsia="fr-BE"/>
        </w:rPr>
        <w:t>añejo</w:t>
      </w:r>
      <w:proofErr w:type="spellEnd"/>
      <w:r w:rsidRPr="00DC5687">
        <w:rPr>
          <w:rFonts w:ascii="Arial" w:eastAsia="Times New Roman" w:hAnsi="Arial" w:cs="Arial"/>
          <w:sz w:val="24"/>
          <w:szCs w:val="24"/>
          <w:lang w:val="nl-NL" w:eastAsia="fr-BE"/>
        </w:rPr>
        <w:t xml:space="preserve"> (of tequila extra </w:t>
      </w:r>
      <w:proofErr w:type="spellStart"/>
      <w:r w:rsidRPr="00DC5687">
        <w:rPr>
          <w:rFonts w:ascii="Arial" w:eastAsia="Times New Roman" w:hAnsi="Arial" w:cs="Arial"/>
          <w:sz w:val="24"/>
          <w:szCs w:val="24"/>
          <w:lang w:val="nl-NL" w:eastAsia="fr-BE"/>
        </w:rPr>
        <w:t>añejo</w:t>
      </w:r>
      <w:proofErr w:type="spellEnd"/>
      <w:r w:rsidRPr="00DC5687">
        <w:rPr>
          <w:rFonts w:ascii="Arial" w:eastAsia="Times New Roman" w:hAnsi="Arial" w:cs="Arial"/>
          <w:sz w:val="24"/>
          <w:szCs w:val="24"/>
          <w:lang w:val="nl-NL" w:eastAsia="fr-BE"/>
        </w:rPr>
        <w:t>) moet minimaal een jaar (drie jaar) in dezelfde 600 liter vaten blijven, verzegeld door een overheidsfunctionaris. De kleur is donkerder dan de vorige en heeft een meer uitgesproken houtachtige smaak.</w:t>
      </w:r>
    </w:p>
    <w:p w14:paraId="5E23F8C2"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BE" w:eastAsia="fr-BE"/>
        </w:rPr>
      </w:pPr>
      <w:r w:rsidRPr="00DC5687">
        <w:rPr>
          <w:rFonts w:ascii="Arial" w:eastAsia="Times New Roman" w:hAnsi="Arial" w:cs="Arial"/>
          <w:sz w:val="24"/>
          <w:szCs w:val="24"/>
          <w:lang w:val="nl-NL" w:eastAsia="fr-BE"/>
        </w:rPr>
        <w:t>Kwalificaties zoals "</w:t>
      </w:r>
      <w:proofErr w:type="spellStart"/>
      <w:r w:rsidRPr="00DC5687">
        <w:rPr>
          <w:rFonts w:ascii="Arial" w:eastAsia="Times New Roman" w:hAnsi="Arial" w:cs="Arial"/>
          <w:sz w:val="24"/>
          <w:szCs w:val="24"/>
          <w:lang w:val="nl-NL" w:eastAsia="fr-BE"/>
        </w:rPr>
        <w:t>oro</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plata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artesanal</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especial</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azteca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antigua</w:t>
      </w:r>
      <w:proofErr w:type="spellEnd"/>
      <w:r w:rsidRPr="00DC5687">
        <w:rPr>
          <w:rFonts w:ascii="Arial" w:eastAsia="Times New Roman" w:hAnsi="Arial" w:cs="Arial"/>
          <w:sz w:val="24"/>
          <w:szCs w:val="24"/>
          <w:lang w:val="nl-NL" w:eastAsia="fr-BE"/>
        </w:rPr>
        <w:t xml:space="preserve"> </w:t>
      </w:r>
      <w:proofErr w:type="spellStart"/>
      <w:r w:rsidRPr="00DC5687">
        <w:rPr>
          <w:rFonts w:ascii="Arial" w:eastAsia="Times New Roman" w:hAnsi="Arial" w:cs="Arial"/>
          <w:sz w:val="24"/>
          <w:szCs w:val="24"/>
          <w:lang w:val="nl-NL" w:eastAsia="fr-BE"/>
        </w:rPr>
        <w:t>reserva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reserva</w:t>
      </w:r>
      <w:proofErr w:type="spellEnd"/>
      <w:r w:rsidRPr="00DC5687">
        <w:rPr>
          <w:rFonts w:ascii="Arial" w:eastAsia="Times New Roman" w:hAnsi="Arial" w:cs="Arial"/>
          <w:sz w:val="24"/>
          <w:szCs w:val="24"/>
          <w:lang w:val="nl-NL" w:eastAsia="fr-BE"/>
        </w:rPr>
        <w:t>", enz. zijn geen officiële termen.</w:t>
      </w:r>
    </w:p>
    <w:p w14:paraId="250B02F8" w14:textId="77777777" w:rsidR="00725ED0" w:rsidRPr="00DC5687" w:rsidRDefault="00725ED0" w:rsidP="00725ED0">
      <w:pPr>
        <w:rPr>
          <w:sz w:val="24"/>
          <w:szCs w:val="24"/>
          <w:lang w:val="nl-BE"/>
        </w:rPr>
      </w:pPr>
    </w:p>
    <w:p w14:paraId="50C08D9A" w14:textId="6B301EBC" w:rsidR="00F173AF" w:rsidRPr="00DC5687" w:rsidRDefault="00F173AF" w:rsidP="00F173AF">
      <w:pPr>
        <w:rPr>
          <w:rFonts w:ascii="Arial" w:hAnsi="Arial" w:cs="Arial"/>
          <w:sz w:val="24"/>
          <w:szCs w:val="24"/>
          <w:lang w:val="nl-BE"/>
        </w:rPr>
      </w:pPr>
    </w:p>
    <w:sectPr w:rsidR="00F173AF" w:rsidRPr="00DC5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AF"/>
    <w:rsid w:val="00535300"/>
    <w:rsid w:val="00725ED0"/>
    <w:rsid w:val="00736518"/>
    <w:rsid w:val="007B07E1"/>
    <w:rsid w:val="0081172D"/>
    <w:rsid w:val="00820F9E"/>
    <w:rsid w:val="00B41173"/>
    <w:rsid w:val="00DC5687"/>
    <w:rsid w:val="00E56664"/>
    <w:rsid w:val="00F173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A0A2"/>
  <w15:chartTrackingRefBased/>
  <w15:docId w15:val="{19040E42-E30A-438A-B836-BE3C4B79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grseq-1">
    <w:name w:val="ti-grseq-1"/>
    <w:basedOn w:val="Normal"/>
    <w:rsid w:val="00F173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old">
    <w:name w:val="bold"/>
    <w:basedOn w:val="Policepardfaut"/>
    <w:rsid w:val="00F173AF"/>
  </w:style>
  <w:style w:type="paragraph" w:customStyle="1" w:styleId="Normal1">
    <w:name w:val="Normal1"/>
    <w:basedOn w:val="Normal"/>
    <w:rsid w:val="00F173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Policepardfaut"/>
    <w:rsid w:val="00F173AF"/>
  </w:style>
  <w:style w:type="paragraph" w:styleId="PrformatHTML">
    <w:name w:val="HTML Preformatted"/>
    <w:basedOn w:val="Normal"/>
    <w:link w:val="PrformatHTMLCar"/>
    <w:uiPriority w:val="99"/>
    <w:semiHidden/>
    <w:unhideWhenUsed/>
    <w:rsid w:val="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725ED0"/>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3843">
      <w:bodyDiv w:val="1"/>
      <w:marLeft w:val="0"/>
      <w:marRight w:val="0"/>
      <w:marTop w:val="0"/>
      <w:marBottom w:val="0"/>
      <w:divBdr>
        <w:top w:val="none" w:sz="0" w:space="0" w:color="auto"/>
        <w:left w:val="none" w:sz="0" w:space="0" w:color="auto"/>
        <w:bottom w:val="none" w:sz="0" w:space="0" w:color="auto"/>
        <w:right w:val="none" w:sz="0" w:space="0" w:color="auto"/>
      </w:divBdr>
    </w:div>
    <w:div w:id="526337276">
      <w:bodyDiv w:val="1"/>
      <w:marLeft w:val="0"/>
      <w:marRight w:val="0"/>
      <w:marTop w:val="0"/>
      <w:marBottom w:val="0"/>
      <w:divBdr>
        <w:top w:val="none" w:sz="0" w:space="0" w:color="auto"/>
        <w:left w:val="none" w:sz="0" w:space="0" w:color="auto"/>
        <w:bottom w:val="none" w:sz="0" w:space="0" w:color="auto"/>
        <w:right w:val="none" w:sz="0" w:space="0" w:color="auto"/>
      </w:divBdr>
    </w:div>
    <w:div w:id="552618568">
      <w:bodyDiv w:val="1"/>
      <w:marLeft w:val="0"/>
      <w:marRight w:val="0"/>
      <w:marTop w:val="0"/>
      <w:marBottom w:val="0"/>
      <w:divBdr>
        <w:top w:val="none" w:sz="0" w:space="0" w:color="auto"/>
        <w:left w:val="none" w:sz="0" w:space="0" w:color="auto"/>
        <w:bottom w:val="none" w:sz="0" w:space="0" w:color="auto"/>
        <w:right w:val="none" w:sz="0" w:space="0" w:color="auto"/>
      </w:divBdr>
    </w:div>
    <w:div w:id="585262335">
      <w:bodyDiv w:val="1"/>
      <w:marLeft w:val="0"/>
      <w:marRight w:val="0"/>
      <w:marTop w:val="0"/>
      <w:marBottom w:val="0"/>
      <w:divBdr>
        <w:top w:val="none" w:sz="0" w:space="0" w:color="auto"/>
        <w:left w:val="none" w:sz="0" w:space="0" w:color="auto"/>
        <w:bottom w:val="none" w:sz="0" w:space="0" w:color="auto"/>
        <w:right w:val="none" w:sz="0" w:space="0" w:color="auto"/>
      </w:divBdr>
    </w:div>
    <w:div w:id="889994287">
      <w:bodyDiv w:val="1"/>
      <w:marLeft w:val="0"/>
      <w:marRight w:val="0"/>
      <w:marTop w:val="0"/>
      <w:marBottom w:val="0"/>
      <w:divBdr>
        <w:top w:val="none" w:sz="0" w:space="0" w:color="auto"/>
        <w:left w:val="none" w:sz="0" w:space="0" w:color="auto"/>
        <w:bottom w:val="none" w:sz="0" w:space="0" w:color="auto"/>
        <w:right w:val="none" w:sz="0" w:space="0" w:color="auto"/>
      </w:divBdr>
    </w:div>
    <w:div w:id="928151937">
      <w:bodyDiv w:val="1"/>
      <w:marLeft w:val="0"/>
      <w:marRight w:val="0"/>
      <w:marTop w:val="0"/>
      <w:marBottom w:val="0"/>
      <w:divBdr>
        <w:top w:val="none" w:sz="0" w:space="0" w:color="auto"/>
        <w:left w:val="none" w:sz="0" w:space="0" w:color="auto"/>
        <w:bottom w:val="none" w:sz="0" w:space="0" w:color="auto"/>
        <w:right w:val="none" w:sz="0" w:space="0" w:color="auto"/>
      </w:divBdr>
    </w:div>
    <w:div w:id="1564876913">
      <w:bodyDiv w:val="1"/>
      <w:marLeft w:val="0"/>
      <w:marRight w:val="0"/>
      <w:marTop w:val="0"/>
      <w:marBottom w:val="0"/>
      <w:divBdr>
        <w:top w:val="none" w:sz="0" w:space="0" w:color="auto"/>
        <w:left w:val="none" w:sz="0" w:space="0" w:color="auto"/>
        <w:bottom w:val="none" w:sz="0" w:space="0" w:color="auto"/>
        <w:right w:val="none" w:sz="0" w:space="0" w:color="auto"/>
      </w:divBdr>
    </w:div>
    <w:div w:id="1710453360">
      <w:bodyDiv w:val="1"/>
      <w:marLeft w:val="0"/>
      <w:marRight w:val="0"/>
      <w:marTop w:val="0"/>
      <w:marBottom w:val="0"/>
      <w:divBdr>
        <w:top w:val="none" w:sz="0" w:space="0" w:color="auto"/>
        <w:left w:val="none" w:sz="0" w:space="0" w:color="auto"/>
        <w:bottom w:val="none" w:sz="0" w:space="0" w:color="auto"/>
        <w:right w:val="none" w:sz="0" w:space="0" w:color="auto"/>
      </w:divBdr>
    </w:div>
    <w:div w:id="1800225781">
      <w:bodyDiv w:val="1"/>
      <w:marLeft w:val="0"/>
      <w:marRight w:val="0"/>
      <w:marTop w:val="0"/>
      <w:marBottom w:val="0"/>
      <w:divBdr>
        <w:top w:val="none" w:sz="0" w:space="0" w:color="auto"/>
        <w:left w:val="none" w:sz="0" w:space="0" w:color="auto"/>
        <w:bottom w:val="none" w:sz="0" w:space="0" w:color="auto"/>
        <w:right w:val="none" w:sz="0" w:space="0" w:color="auto"/>
      </w:divBdr>
    </w:div>
    <w:div w:id="1816947300">
      <w:bodyDiv w:val="1"/>
      <w:marLeft w:val="0"/>
      <w:marRight w:val="0"/>
      <w:marTop w:val="0"/>
      <w:marBottom w:val="0"/>
      <w:divBdr>
        <w:top w:val="none" w:sz="0" w:space="0" w:color="auto"/>
        <w:left w:val="none" w:sz="0" w:space="0" w:color="auto"/>
        <w:bottom w:val="none" w:sz="0" w:space="0" w:color="auto"/>
        <w:right w:val="none" w:sz="0" w:space="0" w:color="auto"/>
      </w:divBdr>
    </w:div>
    <w:div w:id="1989555444">
      <w:bodyDiv w:val="1"/>
      <w:marLeft w:val="0"/>
      <w:marRight w:val="0"/>
      <w:marTop w:val="0"/>
      <w:marBottom w:val="0"/>
      <w:divBdr>
        <w:top w:val="none" w:sz="0" w:space="0" w:color="auto"/>
        <w:left w:val="none" w:sz="0" w:space="0" w:color="auto"/>
        <w:bottom w:val="none" w:sz="0" w:space="0" w:color="auto"/>
        <w:right w:val="none" w:sz="0" w:space="0" w:color="auto"/>
      </w:divBdr>
    </w:div>
    <w:div w:id="21019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2022-01-14T12:50:00Z</dcterms:created>
  <dcterms:modified xsi:type="dcterms:W3CDTF">2022-01-14T12:50:00Z</dcterms:modified>
</cp:coreProperties>
</file>